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C0C6" w14:textId="16BD6D09" w:rsidR="00A110A3" w:rsidRDefault="00A110A3" w:rsidP="00A110A3">
      <w:pPr>
        <w:rPr>
          <w:rFonts w:ascii="Calibri" w:eastAsia="Calibri" w:hAnsi="Calibri" w:cs="Calibri"/>
        </w:rPr>
      </w:pPr>
      <w:r w:rsidRPr="0A1F1A01">
        <w:rPr>
          <w:rFonts w:ascii="Calibri" w:eastAsia="Calibri" w:hAnsi="Calibri" w:cs="Calibri"/>
        </w:rPr>
        <w:t>Hej</w:t>
      </w:r>
      <w:r>
        <w:rPr>
          <w:rFonts w:ascii="Calibri" w:eastAsia="Calibri" w:hAnsi="Calibri" w:cs="Calibri"/>
        </w:rPr>
        <w:t xml:space="preserve"> Nordea,</w:t>
      </w:r>
    </w:p>
    <w:p w14:paraId="7C0CA046" w14:textId="77777777" w:rsidR="00A110A3" w:rsidRDefault="00A110A3" w:rsidP="00A110A3">
      <w:pPr>
        <w:rPr>
          <w:rFonts w:ascii="Calibri" w:eastAsia="Calibri" w:hAnsi="Calibri" w:cs="Calibri"/>
        </w:rPr>
      </w:pPr>
    </w:p>
    <w:p w14:paraId="034C1931" w14:textId="77777777" w:rsidR="00A110A3" w:rsidRDefault="00A110A3" w:rsidP="00A110A3">
      <w:pPr>
        <w:rPr>
          <w:rFonts w:ascii="Calibri" w:eastAsia="Calibri" w:hAnsi="Calibri" w:cs="Calibri"/>
        </w:rPr>
      </w:pPr>
      <w:r w:rsidRPr="0A1F1A01">
        <w:rPr>
          <w:rFonts w:ascii="Calibri" w:eastAsia="Calibri" w:hAnsi="Calibri" w:cs="Calibri"/>
        </w:rPr>
        <w:t>Tack för ert svar.</w:t>
      </w:r>
    </w:p>
    <w:p w14:paraId="196F1531" w14:textId="77777777" w:rsidR="00A110A3" w:rsidRDefault="00A110A3" w:rsidP="00A110A3">
      <w:pPr>
        <w:rPr>
          <w:rFonts w:ascii="Calibri" w:eastAsia="Calibri" w:hAnsi="Calibri" w:cs="Calibri"/>
        </w:rPr>
      </w:pPr>
      <w:r w:rsidRPr="0A1F1A01">
        <w:rPr>
          <w:rFonts w:ascii="Calibri" w:eastAsia="Calibri" w:hAnsi="Calibri" w:cs="Calibri"/>
        </w:rPr>
        <w:t xml:space="preserve"> </w:t>
      </w:r>
    </w:p>
    <w:p w14:paraId="558CA89B" w14:textId="77777777" w:rsidR="00A110A3" w:rsidRDefault="00A110A3" w:rsidP="00A110A3">
      <w:pPr>
        <w:rPr>
          <w:rFonts w:ascii="Calibri" w:eastAsia="Calibri" w:hAnsi="Calibri" w:cs="Calibri"/>
        </w:rPr>
      </w:pPr>
      <w:r w:rsidRPr="0A1F1A01">
        <w:rPr>
          <w:rFonts w:ascii="Calibri" w:eastAsia="Calibri" w:hAnsi="Calibri" w:cs="Calibri"/>
        </w:rPr>
        <w:t xml:space="preserve">Det är bra att ni tar steg i rätt riktning. Men så länge som ni fortsätter att finansiera oljebolag som letar efter mer fossila bränslen – dessutom i miljökänsliga Arktis – så fortsätter ni att vara en del av problemet. Det är bråttom att fasa ut fossila bränslen och enligt det internationella energirådet (IEA) måste all ny kol, gas och olja stanna i marken om vi ska ha en chans att nå Parisavtalets 1,5-gradersmål. </w:t>
      </w:r>
    </w:p>
    <w:p w14:paraId="102D2ECF" w14:textId="77777777" w:rsidR="00A110A3" w:rsidRDefault="00A110A3" w:rsidP="00A110A3">
      <w:pPr>
        <w:rPr>
          <w:rFonts w:ascii="Calibri" w:eastAsia="Calibri" w:hAnsi="Calibri" w:cs="Calibri"/>
        </w:rPr>
      </w:pPr>
      <w:r w:rsidRPr="0A1F1A01">
        <w:rPr>
          <w:rFonts w:ascii="Calibri" w:eastAsia="Calibri" w:hAnsi="Calibri" w:cs="Calibri"/>
        </w:rPr>
        <w:t xml:space="preserve"> </w:t>
      </w:r>
    </w:p>
    <w:p w14:paraId="30696F47" w14:textId="77777777" w:rsidR="00A110A3" w:rsidRDefault="00A110A3" w:rsidP="00A110A3">
      <w:r>
        <w:t xml:space="preserve">Jag vill att ni stoppar allt stöd till oljebolagen tills de har lämnat Arktis, stoppat jakten på mer fossila bränslen och infört fossila utfasningsplaner i linje med Parisavtalet. Precis som Handelsbanken har gjort. Då kan ni bli en tydligare del av lösningen på klimatkrisen, </w:t>
      </w:r>
      <w:proofErr w:type="gramStart"/>
      <w:r>
        <w:t>istället</w:t>
      </w:r>
      <w:proofErr w:type="gramEnd"/>
      <w:r>
        <w:t xml:space="preserve"> för att vara en del av problemet.</w:t>
      </w:r>
    </w:p>
    <w:p w14:paraId="57DEB37C" w14:textId="77777777" w:rsidR="00A110A3" w:rsidRDefault="00A110A3" w:rsidP="00A110A3"/>
    <w:p w14:paraId="15987AD6" w14:textId="77777777" w:rsidR="00A110A3" w:rsidRDefault="00A110A3" w:rsidP="00A110A3">
      <w:r>
        <w:t>Vänliga hälsningar,</w:t>
      </w:r>
    </w:p>
    <w:p w14:paraId="15AD0E9B" w14:textId="77777777" w:rsidR="00A110A3" w:rsidRDefault="00A110A3" w:rsidP="00A110A3"/>
    <w:p w14:paraId="2B15FFE4" w14:textId="773777D3" w:rsidR="00A110A3" w:rsidRDefault="00FB5356" w:rsidP="00A110A3">
      <w:pPr>
        <w:spacing w:line="259" w:lineRule="auto"/>
      </w:pPr>
      <w:r w:rsidRPr="00FB5356">
        <w:rPr>
          <w:highlight w:val="yellow"/>
        </w:rPr>
        <w:t>Ditt namn</w:t>
      </w:r>
    </w:p>
    <w:p w14:paraId="44926860" w14:textId="77777777" w:rsidR="00A110A3" w:rsidRDefault="00A110A3" w:rsidP="00A110A3"/>
    <w:p w14:paraId="3FBB0BFB" w14:textId="77777777" w:rsidR="00A110A3" w:rsidRDefault="00A110A3" w:rsidP="00A110A3">
      <w:r>
        <w:t>Ps: här är några svar på argumenten ni lyfter:</w:t>
      </w:r>
    </w:p>
    <w:p w14:paraId="05C7859D" w14:textId="77777777" w:rsidR="00A110A3" w:rsidRDefault="00A110A3" w:rsidP="00A110A3">
      <w:pPr>
        <w:spacing w:line="259" w:lineRule="auto"/>
        <w:rPr>
          <w:rFonts w:ascii="Calibri" w:eastAsia="Calibri" w:hAnsi="Calibri" w:cs="Calibri"/>
        </w:rPr>
      </w:pPr>
      <w:r w:rsidRPr="0A1F1A01">
        <w:rPr>
          <w:rFonts w:ascii="Calibri" w:eastAsia="Calibri" w:hAnsi="Calibri" w:cs="Calibri"/>
        </w:rPr>
        <w:t xml:space="preserve"> </w:t>
      </w:r>
    </w:p>
    <w:p w14:paraId="525D7AF3" w14:textId="77777777" w:rsidR="00A110A3" w:rsidRDefault="00A110A3" w:rsidP="00A110A3">
      <w:pPr>
        <w:pStyle w:val="Liststycke"/>
        <w:numPr>
          <w:ilvl w:val="0"/>
          <w:numId w:val="3"/>
        </w:numPr>
        <w:rPr>
          <w:rFonts w:eastAsiaTheme="minorEastAsia"/>
        </w:rPr>
      </w:pPr>
      <w:r w:rsidRPr="0A1F1A01">
        <w:rPr>
          <w:rFonts w:ascii="Calibri" w:eastAsia="Calibri" w:hAnsi="Calibri" w:cs="Calibri"/>
          <w:b/>
          <w:bCs/>
        </w:rPr>
        <w:t xml:space="preserve">Ni säger att ni har minskat stödet till utvinning av olja och gas med 70% sedan 2019 </w:t>
      </w:r>
      <w:r w:rsidRPr="0A1F1A01">
        <w:rPr>
          <w:rFonts w:ascii="Calibri" w:eastAsia="Calibri" w:hAnsi="Calibri" w:cs="Calibri"/>
        </w:rPr>
        <w:t>–</w:t>
      </w:r>
      <w:r w:rsidRPr="0A1F1A01">
        <w:rPr>
          <w:rFonts w:ascii="Calibri" w:eastAsia="Calibri" w:hAnsi="Calibri" w:cs="Calibri"/>
          <w:b/>
          <w:bCs/>
        </w:rPr>
        <w:t xml:space="preserve"> </w:t>
      </w:r>
      <w:r w:rsidRPr="0A1F1A01">
        <w:rPr>
          <w:rFonts w:ascii="Calibri" w:eastAsia="Calibri" w:hAnsi="Calibri" w:cs="Calibri"/>
        </w:rPr>
        <w:t xml:space="preserve">det är bra, men så länge som ni fortsätter att stödja bolag som expanderar utvinningen, </w:t>
      </w:r>
      <w:proofErr w:type="gramStart"/>
      <w:r w:rsidRPr="0A1F1A01">
        <w:rPr>
          <w:rFonts w:ascii="Calibri" w:eastAsia="Calibri" w:hAnsi="Calibri" w:cs="Calibri"/>
        </w:rPr>
        <w:t>istället</w:t>
      </w:r>
      <w:proofErr w:type="gramEnd"/>
      <w:r w:rsidRPr="0A1F1A01">
        <w:rPr>
          <w:rFonts w:ascii="Calibri" w:eastAsia="Calibri" w:hAnsi="Calibri" w:cs="Calibri"/>
        </w:rPr>
        <w:t xml:space="preserve"> för att ställa om, är ni en del av problemet.</w:t>
      </w:r>
    </w:p>
    <w:p w14:paraId="6742AED7" w14:textId="77777777" w:rsidR="00A110A3" w:rsidRDefault="00A110A3" w:rsidP="00A110A3">
      <w:pPr>
        <w:rPr>
          <w:rFonts w:ascii="Calibri" w:eastAsia="Calibri" w:hAnsi="Calibri" w:cs="Calibri"/>
        </w:rPr>
      </w:pPr>
      <w:r w:rsidRPr="0A1F1A01">
        <w:rPr>
          <w:rFonts w:ascii="Calibri" w:eastAsia="Calibri" w:hAnsi="Calibri" w:cs="Calibri"/>
        </w:rPr>
        <w:t xml:space="preserve"> </w:t>
      </w:r>
    </w:p>
    <w:p w14:paraId="043A63E6" w14:textId="77777777" w:rsidR="00A110A3" w:rsidRDefault="00A110A3" w:rsidP="00A110A3">
      <w:pPr>
        <w:pStyle w:val="Liststycke"/>
        <w:numPr>
          <w:ilvl w:val="0"/>
          <w:numId w:val="2"/>
        </w:numPr>
        <w:rPr>
          <w:rFonts w:eastAsiaTheme="minorEastAsia"/>
        </w:rPr>
      </w:pPr>
      <w:r w:rsidRPr="0A1F1A01">
        <w:rPr>
          <w:rFonts w:ascii="Calibri" w:eastAsia="Calibri" w:hAnsi="Calibri" w:cs="Calibri"/>
          <w:b/>
          <w:bCs/>
        </w:rPr>
        <w:t xml:space="preserve">Ni säger att ni ska sluta finansiera borrnings- och </w:t>
      </w:r>
      <w:proofErr w:type="spellStart"/>
      <w:r w:rsidRPr="0A1F1A01">
        <w:rPr>
          <w:rFonts w:ascii="Calibri" w:eastAsia="Calibri" w:hAnsi="Calibri" w:cs="Calibri"/>
          <w:b/>
          <w:bCs/>
        </w:rPr>
        <w:t>supplytjänster</w:t>
      </w:r>
      <w:proofErr w:type="spellEnd"/>
      <w:r w:rsidRPr="0A1F1A01">
        <w:rPr>
          <w:rFonts w:ascii="Calibri" w:eastAsia="Calibri" w:hAnsi="Calibri" w:cs="Calibri"/>
          <w:b/>
          <w:bCs/>
        </w:rPr>
        <w:t xml:space="preserve"> till oljebolagen senast 2025</w:t>
      </w:r>
      <w:r w:rsidRPr="0A1F1A01">
        <w:rPr>
          <w:rFonts w:ascii="Calibri" w:eastAsia="Calibri" w:hAnsi="Calibri" w:cs="Calibri"/>
        </w:rPr>
        <w:t xml:space="preserve"> – men oljejakten måste sluta omedelbart, inte 2025. Dessutom omfattar det här stoppet bara företag som bidrar med kringtjänster och dessa utgör bara 6% av er utlåning till bolag inom oljeutvinning i Arktis. Det omfattar inte Nordeas stöd till oljebolagen som bedriver själva kärnverksamheten, dvs äger projekten och oljeproduktionen.</w:t>
      </w:r>
    </w:p>
    <w:p w14:paraId="4F171059" w14:textId="77777777" w:rsidR="00A110A3" w:rsidRDefault="00A110A3" w:rsidP="00A110A3">
      <w:pPr>
        <w:rPr>
          <w:rFonts w:ascii="Calibri" w:eastAsia="Calibri" w:hAnsi="Calibri" w:cs="Calibri"/>
        </w:rPr>
      </w:pPr>
      <w:r w:rsidRPr="0A1F1A01">
        <w:rPr>
          <w:rFonts w:ascii="Calibri" w:eastAsia="Calibri" w:hAnsi="Calibri" w:cs="Calibri"/>
        </w:rPr>
        <w:t xml:space="preserve"> </w:t>
      </w:r>
    </w:p>
    <w:p w14:paraId="42DAFD19" w14:textId="77777777" w:rsidR="00A110A3" w:rsidRDefault="00A110A3" w:rsidP="00A110A3">
      <w:pPr>
        <w:pStyle w:val="Liststycke"/>
        <w:numPr>
          <w:ilvl w:val="0"/>
          <w:numId w:val="1"/>
        </w:numPr>
        <w:spacing w:line="259" w:lineRule="auto"/>
        <w:rPr>
          <w:rFonts w:eastAsiaTheme="minorEastAsia"/>
          <w:color w:val="000000" w:themeColor="text1"/>
        </w:rPr>
      </w:pPr>
      <w:r w:rsidRPr="0A1F1A01">
        <w:rPr>
          <w:rFonts w:ascii="Calibri" w:eastAsia="Calibri" w:hAnsi="Calibri" w:cs="Calibri"/>
          <w:b/>
          <w:bCs/>
        </w:rPr>
        <w:t>Ni säger att oljebolagen har en viktig roll när Europa ställs inför en energikris</w:t>
      </w:r>
      <w:r w:rsidRPr="0A1F1A01">
        <w:rPr>
          <w:rFonts w:ascii="Calibri" w:eastAsia="Calibri" w:hAnsi="Calibri" w:cs="Calibri"/>
        </w:rPr>
        <w:t xml:space="preserve"> </w:t>
      </w:r>
      <w:proofErr w:type="gramStart"/>
      <w:r w:rsidRPr="0A1F1A01">
        <w:rPr>
          <w:rFonts w:ascii="Calibri" w:eastAsia="Calibri" w:hAnsi="Calibri" w:cs="Calibri"/>
        </w:rPr>
        <w:t>–  men</w:t>
      </w:r>
      <w:proofErr w:type="gramEnd"/>
      <w:r w:rsidRPr="0A1F1A01">
        <w:rPr>
          <w:rFonts w:ascii="Calibri" w:eastAsia="Calibri" w:hAnsi="Calibri" w:cs="Calibri"/>
        </w:rPr>
        <w:t xml:space="preserve"> att leta efter mer olja och gas är ingen lösning på energikrisen. Det säger till och med </w:t>
      </w:r>
      <w:hyperlink r:id="rId5">
        <w:r w:rsidRPr="0A1F1A01">
          <w:rPr>
            <w:rStyle w:val="Hyperlnk"/>
            <w:rFonts w:ascii="Calibri" w:eastAsia="Calibri" w:hAnsi="Calibri" w:cs="Calibri"/>
          </w:rPr>
          <w:t>IEA</w:t>
        </w:r>
      </w:hyperlink>
      <w:r w:rsidRPr="0A1F1A01">
        <w:rPr>
          <w:rFonts w:ascii="Calibri" w:eastAsia="Calibri" w:hAnsi="Calibri" w:cs="Calibri"/>
        </w:rPr>
        <w:t xml:space="preserve">. Det tar lång tid från det att man lokaliserat fyndigheter tills att den är ute på marknaden. Det låser också in oss i ett fortsatt fossilberoende när vi behöver ställa om. </w:t>
      </w:r>
      <w:r w:rsidRPr="0A1F1A01">
        <w:t xml:space="preserve">Bankerna bör </w:t>
      </w:r>
      <w:proofErr w:type="gramStart"/>
      <w:r w:rsidRPr="0A1F1A01">
        <w:t>istället</w:t>
      </w:r>
      <w:proofErr w:type="gramEnd"/>
      <w:r w:rsidRPr="0A1F1A01">
        <w:t xml:space="preserve"> satsa på snabbare åtgärder som utbyggnad av vindkraft och solenergi och driva på för omfattande energieffektivisering.</w:t>
      </w:r>
    </w:p>
    <w:p w14:paraId="662C8EF5" w14:textId="77777777" w:rsidR="00A110A3" w:rsidRDefault="00A110A3" w:rsidP="00A110A3">
      <w:pPr>
        <w:spacing w:line="259" w:lineRule="auto"/>
        <w:rPr>
          <w:rFonts w:eastAsiaTheme="minorEastAsia"/>
          <w:color w:val="000000" w:themeColor="text1"/>
        </w:rPr>
      </w:pPr>
    </w:p>
    <w:p w14:paraId="567535E7" w14:textId="77777777" w:rsidR="00A110A3" w:rsidRDefault="00A110A3" w:rsidP="00A110A3">
      <w:pPr>
        <w:pStyle w:val="Liststycke"/>
        <w:numPr>
          <w:ilvl w:val="0"/>
          <w:numId w:val="1"/>
        </w:numPr>
        <w:spacing w:line="259" w:lineRule="auto"/>
        <w:rPr>
          <w:rFonts w:eastAsiaTheme="minorEastAsia"/>
          <w:color w:val="000000" w:themeColor="text1"/>
        </w:rPr>
      </w:pPr>
      <w:r w:rsidRPr="0A1F1A01">
        <w:rPr>
          <w:rFonts w:eastAsiaTheme="minorEastAsia"/>
          <w:b/>
          <w:bCs/>
          <w:color w:val="000000" w:themeColor="text1"/>
        </w:rPr>
        <w:t>Ni säger att oljan som utvinns i Norge har bland de lägsta utsläppen</w:t>
      </w:r>
      <w:r w:rsidRPr="0A1F1A01">
        <w:rPr>
          <w:rFonts w:eastAsiaTheme="minorEastAsia"/>
          <w:color w:val="000000" w:themeColor="text1"/>
        </w:rPr>
        <w:t xml:space="preserve"> - men den absoluta huvuddelen av utsläppen sker inte vid utvinningen utan när fossila bränslen förbränns. Exempelvis skulle utsläppen från oljan som planeras att utvinnas från fältet </w:t>
      </w:r>
      <w:proofErr w:type="spellStart"/>
      <w:r w:rsidRPr="0A1F1A01">
        <w:rPr>
          <w:rFonts w:eastAsiaTheme="minorEastAsia"/>
          <w:color w:val="000000" w:themeColor="text1"/>
        </w:rPr>
        <w:t>Wisting</w:t>
      </w:r>
      <w:proofErr w:type="spellEnd"/>
      <w:r w:rsidRPr="0A1F1A01">
        <w:rPr>
          <w:rFonts w:eastAsiaTheme="minorEastAsia"/>
          <w:color w:val="000000" w:themeColor="text1"/>
        </w:rPr>
        <w:t xml:space="preserve"> vara 200 miljoner ton Co2, vilket motsvarar de årliga utsläppen från 50 kolkraftverk.</w:t>
      </w:r>
    </w:p>
    <w:p w14:paraId="69A1C425" w14:textId="77777777" w:rsidR="00A110A3" w:rsidRDefault="00A110A3" w:rsidP="00A110A3">
      <w:pPr>
        <w:spacing w:line="259" w:lineRule="auto"/>
        <w:rPr>
          <w:rFonts w:eastAsiaTheme="minorEastAsia"/>
          <w:color w:val="000000" w:themeColor="text1"/>
        </w:rPr>
      </w:pPr>
    </w:p>
    <w:p w14:paraId="7DEEA87D" w14:textId="77777777" w:rsidR="00A110A3" w:rsidRDefault="00A110A3" w:rsidP="00A110A3">
      <w:pPr>
        <w:pStyle w:val="Liststycke"/>
        <w:numPr>
          <w:ilvl w:val="0"/>
          <w:numId w:val="1"/>
        </w:numPr>
        <w:spacing w:line="259" w:lineRule="auto"/>
        <w:rPr>
          <w:rFonts w:eastAsiaTheme="minorEastAsia"/>
          <w:color w:val="000000" w:themeColor="text1"/>
        </w:rPr>
      </w:pPr>
      <w:r w:rsidRPr="0A1F1A01">
        <w:rPr>
          <w:rFonts w:eastAsiaTheme="minorEastAsia"/>
          <w:b/>
          <w:bCs/>
          <w:color w:val="000000" w:themeColor="text1"/>
        </w:rPr>
        <w:t>Ni säger att det är bättre att fortsätta finansiera bolagen och påverka dem att ställa om</w:t>
      </w:r>
      <w:r w:rsidRPr="0A1F1A01">
        <w:rPr>
          <w:rFonts w:eastAsiaTheme="minorEastAsia"/>
          <w:color w:val="000000" w:themeColor="text1"/>
        </w:rPr>
        <w:t xml:space="preserve"> – men de här bolagen rör sig i helt fel riktning och visar inga tecken på att fasa ut fossila </w:t>
      </w:r>
      <w:r w:rsidRPr="0A1F1A01">
        <w:rPr>
          <w:rFonts w:eastAsiaTheme="minorEastAsia"/>
          <w:color w:val="000000" w:themeColor="text1"/>
        </w:rPr>
        <w:lastRenderedPageBreak/>
        <w:t xml:space="preserve">bränslena tillräckligt snabbt. </w:t>
      </w:r>
      <w:proofErr w:type="gramStart"/>
      <w:r w:rsidRPr="0A1F1A01">
        <w:rPr>
          <w:rFonts w:eastAsiaTheme="minorEastAsia"/>
          <w:color w:val="000000" w:themeColor="text1"/>
        </w:rPr>
        <w:t>Istället</w:t>
      </w:r>
      <w:proofErr w:type="gramEnd"/>
      <w:r w:rsidRPr="0A1F1A01">
        <w:rPr>
          <w:rFonts w:eastAsiaTheme="minorEastAsia"/>
          <w:color w:val="000000" w:themeColor="text1"/>
        </w:rPr>
        <w:t xml:space="preserve"> expanderar de, i strid med Parisavtalet. Det är också svårt att köpa argumentet om påverkan eftersom utomstående har noll insyn i påverkansprocessen. Läs </w:t>
      </w:r>
      <w:hyperlink r:id="rId6">
        <w:r w:rsidRPr="0A1F1A01">
          <w:rPr>
            <w:rStyle w:val="Hyperlnk"/>
            <w:rFonts w:eastAsiaTheme="minorEastAsia"/>
          </w:rPr>
          <w:t>här</w:t>
        </w:r>
      </w:hyperlink>
      <w:r w:rsidRPr="0A1F1A01">
        <w:rPr>
          <w:rFonts w:eastAsiaTheme="minorEastAsia"/>
          <w:color w:val="000000" w:themeColor="text1"/>
        </w:rPr>
        <w:t xml:space="preserve"> om varför det är bättre att styra bort pengarna från fossilbolag som inte vill ställa om.</w:t>
      </w:r>
    </w:p>
    <w:p w14:paraId="47C2B693" w14:textId="77777777" w:rsidR="00A110A3" w:rsidRDefault="00A110A3" w:rsidP="00A110A3">
      <w:pPr>
        <w:spacing w:line="259" w:lineRule="auto"/>
        <w:rPr>
          <w:rFonts w:eastAsiaTheme="minorEastAsia"/>
          <w:color w:val="000000" w:themeColor="text1"/>
        </w:rPr>
      </w:pPr>
    </w:p>
    <w:p w14:paraId="13E3064A" w14:textId="77777777" w:rsidR="00A110A3" w:rsidRDefault="00A110A3" w:rsidP="00A110A3">
      <w:pPr>
        <w:spacing w:line="259" w:lineRule="auto"/>
        <w:rPr>
          <w:rFonts w:eastAsiaTheme="minorEastAsia"/>
          <w:color w:val="000000" w:themeColor="text1"/>
        </w:rPr>
      </w:pPr>
    </w:p>
    <w:p w14:paraId="0228F597" w14:textId="77777777" w:rsidR="00666DD3" w:rsidRDefault="00666DD3"/>
    <w:sectPr w:rsidR="0066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FEA4"/>
    <w:multiLevelType w:val="hybridMultilevel"/>
    <w:tmpl w:val="DC52BB72"/>
    <w:lvl w:ilvl="0" w:tplc="A3FEEB1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FB6FB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AE34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B038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DE16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D63D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8645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BA9A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A4F2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73D3E"/>
    <w:multiLevelType w:val="hybridMultilevel"/>
    <w:tmpl w:val="BBAE9DDE"/>
    <w:lvl w:ilvl="0" w:tplc="F40AD64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7A9E86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3A59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2CA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0089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DCE0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8A84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906F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5028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6C48B"/>
    <w:multiLevelType w:val="hybridMultilevel"/>
    <w:tmpl w:val="4C3CE9BC"/>
    <w:lvl w:ilvl="0" w:tplc="4EE6648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4F815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7C04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2A2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C27F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35E68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469A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0CDD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C0695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054108">
    <w:abstractNumId w:val="2"/>
  </w:num>
  <w:num w:numId="2" w16cid:durableId="253982502">
    <w:abstractNumId w:val="0"/>
  </w:num>
  <w:num w:numId="3" w16cid:durableId="123543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A3"/>
    <w:rsid w:val="00666DD3"/>
    <w:rsid w:val="00A110A3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090A8"/>
  <w15:chartTrackingRefBased/>
  <w15:docId w15:val="{729CAA8C-8AB9-A74F-B762-AF7F96E1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10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11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tonbladet.se/debatt/a/kRMy0j/bankerna-maste-sluta-stodja-fossilbolagen" TargetMode="External"/><Relationship Id="rId5" Type="http://schemas.openxmlformats.org/officeDocument/2006/relationships/hyperlink" Target="https://www.iea.org/commentaries/what-does-the-current-global-energy-crisis-mean-for-energy-invest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König</dc:creator>
  <cp:keywords/>
  <dc:description/>
  <cp:lastModifiedBy>Jakob König</cp:lastModifiedBy>
  <cp:revision>2</cp:revision>
  <dcterms:created xsi:type="dcterms:W3CDTF">2022-10-12T12:09:00Z</dcterms:created>
  <dcterms:modified xsi:type="dcterms:W3CDTF">2022-10-12T12:10:00Z</dcterms:modified>
</cp:coreProperties>
</file>